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4FA" w:rsidRPr="008F24FA" w:rsidRDefault="009273CB" w:rsidP="008F24FA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9273CB">
        <w:rPr>
          <w:i/>
        </w:rPr>
        <w:t xml:space="preserve">Read the story about </w:t>
      </w:r>
      <w:r w:rsidRPr="00D9290B">
        <w:rPr>
          <w:b/>
          <w:i/>
        </w:rPr>
        <w:t>John the Baptist</w:t>
      </w:r>
      <w:r w:rsidRPr="009273CB">
        <w:rPr>
          <w:i/>
        </w:rPr>
        <w:t xml:space="preserve"> in </w:t>
      </w:r>
      <w:r w:rsidRPr="009273CB">
        <w:rPr>
          <w:b/>
          <w:i/>
        </w:rPr>
        <w:t>Mark 1:</w:t>
      </w:r>
      <w:bookmarkStart w:id="0" w:name="_GoBack"/>
      <w:bookmarkEnd w:id="0"/>
      <w:r w:rsidRPr="009273CB">
        <w:rPr>
          <w:b/>
          <w:i/>
        </w:rPr>
        <w:t>4-8</w:t>
      </w:r>
      <w:r w:rsidR="008F24FA">
        <w:rPr>
          <w:i/>
        </w:rPr>
        <w:t>.</w:t>
      </w:r>
      <w:r w:rsidR="007C1E30" w:rsidRPr="007C1E30">
        <w:rPr>
          <w:i/>
          <w:noProof/>
        </w:rPr>
        <w:t xml:space="preserve"> </w:t>
      </w:r>
    </w:p>
    <w:p w:rsidR="008F24FA" w:rsidRPr="008F24FA" w:rsidRDefault="008F24FA" w:rsidP="008F24FA">
      <w:pPr>
        <w:pStyle w:val="ListParagraph"/>
        <w:rPr>
          <w:rFonts w:cs="Arial"/>
          <w:i/>
        </w:rPr>
      </w:pPr>
    </w:p>
    <w:p w:rsidR="001D68FC" w:rsidRDefault="008F24FA" w:rsidP="008F24FA">
      <w:pPr>
        <w:pStyle w:val="ListParagraph"/>
        <w:numPr>
          <w:ilvl w:val="0"/>
          <w:numId w:val="6"/>
        </w:numPr>
        <w:rPr>
          <w:rFonts w:cs="Arial"/>
          <w:i/>
        </w:rPr>
      </w:pPr>
      <w:r w:rsidRPr="008F24FA">
        <w:rPr>
          <w:rFonts w:cs="Arial"/>
          <w:i/>
        </w:rPr>
        <w:t>Print this worksheet on</w:t>
      </w:r>
      <w:r>
        <w:rPr>
          <w:rFonts w:cs="Arial"/>
          <w:i/>
        </w:rPr>
        <w:t>to</w:t>
      </w:r>
      <w:r w:rsidRPr="008F24FA">
        <w:rPr>
          <w:rFonts w:cs="Arial"/>
          <w:i/>
        </w:rPr>
        <w:t xml:space="preserve"> thin card; cut out the sentence cards, jumble them up, </w:t>
      </w:r>
    </w:p>
    <w:p w:rsidR="008F24FA" w:rsidRDefault="0069632F" w:rsidP="001D68FC">
      <w:pPr>
        <w:pStyle w:val="ListParagraph"/>
        <w:rPr>
          <w:rFonts w:cs="Arial"/>
          <w:i/>
        </w:rPr>
      </w:pPr>
      <w:r w:rsidRPr="007C1E30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31639B9" wp14:editId="06B1304C">
                <wp:simplePos x="0" y="0"/>
                <wp:positionH relativeFrom="margin">
                  <wp:posOffset>2671445</wp:posOffset>
                </wp:positionH>
                <wp:positionV relativeFrom="page">
                  <wp:posOffset>2377440</wp:posOffset>
                </wp:positionV>
                <wp:extent cx="375920" cy="257810"/>
                <wp:effectExtent l="0" t="0" r="5080" b="889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E30" w:rsidRPr="007C1E30" w:rsidRDefault="007C1E30" w:rsidP="007C1E30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  <w:r w:rsidRPr="007C1E30">
                              <w:rPr>
                                <w:rFonts w:cs="Arial"/>
                              </w:rPr>
                              <w:sym w:font="Wingdings" w:char="F022"/>
                            </w:r>
                          </w:p>
                          <w:p w:rsidR="007C1E30" w:rsidRDefault="007C1E30" w:rsidP="007C1E3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1639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35pt;margin-top:187.2pt;width:29.6pt;height:20.3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" stroked="f">
                <v:textbox>
                  <w:txbxContent>
                    <w:p w:rsidR="007C1E30" w:rsidRPr="007C1E30" w:rsidRDefault="007C1E30" w:rsidP="007C1E30">
                      <w:pPr>
                        <w:jc w:val="center"/>
                        <w:rPr>
                          <w:rFonts w:cs="Arial"/>
                        </w:rPr>
                      </w:pPr>
                      <w:r w:rsidRPr="007C1E30">
                        <w:rPr>
                          <w:rFonts w:cs="Arial"/>
                        </w:rPr>
                        <w:sym w:font="Wingdings" w:char="F022"/>
                      </w:r>
                    </w:p>
                    <w:p w:rsidR="007C1E30" w:rsidRDefault="007C1E30" w:rsidP="007C1E30"/>
                  </w:txbxContent>
                </v:textbox>
                <w10:wrap anchorx="margin" anchory="page"/>
              </v:shape>
            </w:pict>
          </mc:Fallback>
        </mc:AlternateContent>
      </w:r>
      <w:r w:rsidR="008F24FA" w:rsidRPr="008F24FA">
        <w:rPr>
          <w:rFonts w:cs="Arial"/>
          <w:i/>
        </w:rPr>
        <w:t>then put them back into order:</w:t>
      </w:r>
    </w:p>
    <w:tbl>
      <w:tblPr>
        <w:tblStyle w:val="TableGrid"/>
        <w:tblW w:w="0" w:type="auto"/>
        <w:tblInd w:w="1057" w:type="dxa"/>
        <w:tblLook w:val="04A0" w:firstRow="1" w:lastRow="0" w:firstColumn="1" w:lastColumn="0" w:noHBand="0" w:noVBand="1"/>
      </w:tblPr>
      <w:tblGrid>
        <w:gridCol w:w="6941"/>
      </w:tblGrid>
      <w:tr w:rsidR="008F24FA" w:rsidRPr="00DE0DD9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and a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leather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belt around his waist.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RPr="00DE0DD9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All the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country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of Judea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confessing their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sins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but he will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bapti</w:t>
            </w:r>
            <w:r w:rsidR="000309F7">
              <w:rPr>
                <w:rFonts w:ascii="Rod" w:hAnsi="Rod" w:cs="Rod"/>
                <w:color w:val="000000"/>
                <w:sz w:val="24"/>
                <w:szCs w:val="24"/>
                <w:highlight w:val="yellow"/>
              </w:rPr>
              <w:t>z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e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you in the Holy Spirit.”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John came bapti</w:t>
            </w:r>
            <w:r w:rsidR="000309F7">
              <w:rPr>
                <w:rFonts w:ascii="Rod" w:hAnsi="Rod" w:cs="Rod"/>
                <w:color w:val="000000"/>
                <w:sz w:val="24"/>
                <w:szCs w:val="24"/>
              </w:rPr>
              <w:t>z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ing in the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wilderness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I am not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worthy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to stoop down and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loosen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the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thong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of whose sandals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for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forgiveness</w:t>
            </w:r>
            <w:r w:rsidRPr="00D663B4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of sins.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They were bapti</w:t>
            </w:r>
            <w:r w:rsidR="000309F7">
              <w:rPr>
                <w:rFonts w:ascii="Rod" w:hAnsi="Rod" w:cs="Rod"/>
                <w:color w:val="000000"/>
                <w:sz w:val="24"/>
                <w:szCs w:val="24"/>
              </w:rPr>
              <w:t>z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ed by him in the Jordan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river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,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John was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clothed with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camel’s hair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He ate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locusts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and wild honey.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I bapti</w:t>
            </w:r>
            <w:r w:rsidR="000309F7">
              <w:rPr>
                <w:rFonts w:ascii="Rod" w:hAnsi="Rod" w:cs="Rod"/>
                <w:color w:val="000000"/>
                <w:sz w:val="24"/>
                <w:szCs w:val="24"/>
              </w:rPr>
              <w:t>z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ed you in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water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,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and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preaching</w:t>
            </w:r>
            <w:r w:rsidRPr="00D663B4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the baptism of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repentance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He preached, saying, “After me comes he who is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  <w:highlight w:val="yellow"/>
              </w:rPr>
              <w:t>mightier</w:t>
            </w:r>
            <w:r w:rsidRPr="000309F7">
              <w:rPr>
                <w:rFonts w:ascii="Rod" w:hAnsi="Rod" w:cs="Rod" w:hint="cs"/>
                <w:color w:val="000000"/>
                <w:sz w:val="24"/>
                <w:szCs w:val="24"/>
              </w:rPr>
              <w:t xml:space="preserve"> </w:t>
            </w: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than I,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  <w:tr w:rsidR="008F24FA" w:rsidTr="00794ED7">
        <w:tc>
          <w:tcPr>
            <w:tcW w:w="6941" w:type="dxa"/>
          </w:tcPr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24"/>
                <w:szCs w:val="24"/>
              </w:rPr>
            </w:pPr>
            <w:r w:rsidRPr="0069632F">
              <w:rPr>
                <w:rFonts w:ascii="Rod" w:hAnsi="Rod" w:cs="Rod" w:hint="cs"/>
                <w:color w:val="000000"/>
                <w:sz w:val="24"/>
                <w:szCs w:val="24"/>
              </w:rPr>
              <w:t>and all those of Jerusalem went out to him.</w:t>
            </w:r>
          </w:p>
          <w:p w:rsidR="008F24FA" w:rsidRPr="0069632F" w:rsidRDefault="008F24FA" w:rsidP="00794ED7">
            <w:pPr>
              <w:rPr>
                <w:rFonts w:ascii="Rod" w:hAnsi="Rod" w:cs="Rod"/>
                <w:color w:val="000000"/>
                <w:sz w:val="10"/>
                <w:szCs w:val="24"/>
              </w:rPr>
            </w:pPr>
          </w:p>
        </w:tc>
      </w:tr>
    </w:tbl>
    <w:p w:rsidR="000D50FE" w:rsidRDefault="000D50FE" w:rsidP="00BB0238">
      <w:pPr>
        <w:rPr>
          <w:rFonts w:ascii="Rod" w:hAnsi="Rod" w:cs="Rod"/>
        </w:rPr>
      </w:pPr>
    </w:p>
    <w:p w:rsidR="00BB0238" w:rsidRDefault="00BB0238" w:rsidP="00BB0238">
      <w:pPr>
        <w:rPr>
          <w:i/>
        </w:rPr>
      </w:pPr>
      <w:r>
        <w:rPr>
          <w:rFonts w:ascii="Rod" w:hAnsi="Rod" w:cs="Rod"/>
        </w:rPr>
        <w:t>---------------------------------------------------------------------------</w:t>
      </w:r>
    </w:p>
    <w:p w:rsidR="008F24FA" w:rsidRPr="00DF2C94" w:rsidRDefault="008F24FA" w:rsidP="009E2F8D">
      <w:pPr>
        <w:pStyle w:val="ListParagraph"/>
        <w:numPr>
          <w:ilvl w:val="0"/>
          <w:numId w:val="6"/>
        </w:numPr>
        <w:spacing w:line="240" w:lineRule="auto"/>
        <w:rPr>
          <w:i/>
        </w:rPr>
      </w:pPr>
      <w:r w:rsidRPr="00DF2C94">
        <w:rPr>
          <w:rFonts w:cs="Arial"/>
          <w:b/>
          <w:i/>
        </w:rPr>
        <w:t>Synonyms</w:t>
      </w:r>
      <w:r w:rsidRPr="00DF2C94">
        <w:rPr>
          <w:rFonts w:cs="Arial"/>
          <w:i/>
        </w:rPr>
        <w:t xml:space="preserve">: write </w:t>
      </w:r>
      <w:r w:rsidR="0069632F">
        <w:rPr>
          <w:rFonts w:cs="Arial"/>
          <w:i/>
        </w:rPr>
        <w:t xml:space="preserve">a </w:t>
      </w:r>
      <w:r w:rsidR="0069632F" w:rsidRPr="0069632F">
        <w:rPr>
          <w:rFonts w:cs="Arial"/>
          <w:i/>
          <w:highlight w:val="yellow"/>
        </w:rPr>
        <w:t>highlighted</w:t>
      </w:r>
      <w:r w:rsidR="0069632F">
        <w:rPr>
          <w:rFonts w:cs="Arial"/>
          <w:i/>
        </w:rPr>
        <w:t xml:space="preserve"> </w:t>
      </w:r>
      <w:r w:rsidRPr="00DF2C94">
        <w:rPr>
          <w:rFonts w:cs="Arial"/>
          <w:i/>
        </w:rPr>
        <w:t>word from the text which means the same as:</w:t>
      </w:r>
    </w:p>
    <w:p w:rsidR="00DF2C94" w:rsidRDefault="00DF2C94" w:rsidP="00DF2C94">
      <w:pPr>
        <w:spacing w:line="240" w:lineRule="auto"/>
      </w:pPr>
    </w:p>
    <w:p w:rsidR="00DF2C94" w:rsidRDefault="00DF2C94" w:rsidP="00DF2C94">
      <w:pPr>
        <w:pStyle w:val="ListParagraph"/>
        <w:numPr>
          <w:ilvl w:val="0"/>
          <w:numId w:val="11"/>
        </w:numPr>
        <w:rPr>
          <w:rFonts w:cs="Arial"/>
          <w:i/>
        </w:rPr>
        <w:sectPr w:rsidR="00DF2C94" w:rsidSect="00DF2C94">
          <w:headerReference w:type="default" r:id="rId7"/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acceptable</w:t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clemency</w:t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cord</w:t>
      </w:r>
      <w:r w:rsidRPr="00627782">
        <w:rPr>
          <w:rFonts w:cs="Arial"/>
        </w:rPr>
        <w:tab/>
        <w:t xml:space="preserve"> </w:t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 xml:space="preserve">desert 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greater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</w:pPr>
      <w:r w:rsidRPr="00627782">
        <w:rPr>
          <w:rFonts w:cs="Arial"/>
        </w:rPr>
        <w:t>H20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 xml:space="preserve">immerse </w:t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insects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C8385E" w:rsidRPr="00627782" w:rsidRDefault="00C8385E" w:rsidP="00C8385E">
      <w:pPr>
        <w:pStyle w:val="ListParagraph"/>
        <w:numPr>
          <w:ilvl w:val="0"/>
          <w:numId w:val="11"/>
        </w:numPr>
      </w:pPr>
      <w:r>
        <w:rPr>
          <w:rFonts w:cs="Arial"/>
        </w:rPr>
        <w:t>proclaiming</w:t>
      </w:r>
      <w:r w:rsidRPr="00627782">
        <w:rPr>
          <w:rFonts w:cs="Arial"/>
        </w:rPr>
        <w:tab/>
      </w:r>
      <w:r w:rsidRPr="00627782">
        <w:t>__________</w:t>
      </w:r>
    </w:p>
    <w:p w:rsidR="001A7A7A" w:rsidRPr="00627782" w:rsidRDefault="001A7A7A" w:rsidP="001A7A7A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 xml:space="preserve">region 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skin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C8385E" w:rsidRPr="00627782" w:rsidRDefault="00C8385E" w:rsidP="00C8385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turning from sin</w:t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  <w:rPr>
          <w:rFonts w:cs="Arial"/>
        </w:rPr>
      </w:pPr>
      <w:r w:rsidRPr="00627782">
        <w:rPr>
          <w:rFonts w:cs="Arial"/>
        </w:rPr>
        <w:t>untie</w:t>
      </w:r>
      <w:r w:rsidRPr="00627782">
        <w:rPr>
          <w:rFonts w:cs="Arial"/>
        </w:rPr>
        <w:tab/>
      </w:r>
      <w:r w:rsidRPr="00627782">
        <w:rPr>
          <w:rFonts w:cs="Arial"/>
        </w:rPr>
        <w:tab/>
      </w:r>
      <w:r w:rsidRPr="00627782">
        <w:t>__________</w:t>
      </w:r>
    </w:p>
    <w:p w:rsidR="00DF2C94" w:rsidRPr="00627782" w:rsidRDefault="00DF2C94" w:rsidP="00DF2C94">
      <w:pPr>
        <w:pStyle w:val="ListParagraph"/>
        <w:numPr>
          <w:ilvl w:val="0"/>
          <w:numId w:val="11"/>
        </w:numPr>
      </w:pPr>
      <w:r w:rsidRPr="00627782">
        <w:rPr>
          <w:rFonts w:cs="Arial"/>
        </w:rPr>
        <w:t xml:space="preserve">waterway </w:t>
      </w:r>
      <w:r w:rsidRPr="00627782">
        <w:rPr>
          <w:rFonts w:cs="Arial"/>
        </w:rPr>
        <w:tab/>
      </w:r>
      <w:r w:rsidRPr="00627782">
        <w:t>__________</w:t>
      </w:r>
    </w:p>
    <w:p w:rsidR="00C8385E" w:rsidRDefault="00C8385E" w:rsidP="00C8385E">
      <w:pPr>
        <w:pStyle w:val="ListParagraph"/>
        <w:numPr>
          <w:ilvl w:val="0"/>
          <w:numId w:val="11"/>
        </w:numPr>
      </w:pPr>
      <w:r w:rsidRPr="00627782">
        <w:rPr>
          <w:rFonts w:cs="Arial"/>
        </w:rPr>
        <w:t xml:space="preserve">wearing </w:t>
      </w:r>
      <w:r w:rsidRPr="00627782">
        <w:rPr>
          <w:rFonts w:cs="Arial"/>
        </w:rPr>
        <w:tab/>
      </w:r>
      <w:r w:rsidRPr="00627782">
        <w:t>__________</w:t>
      </w:r>
    </w:p>
    <w:p w:rsidR="00C8385E" w:rsidRPr="00627782" w:rsidRDefault="00C8385E" w:rsidP="00C8385E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wrongdoing</w:t>
      </w:r>
      <w:r w:rsidRPr="00627782">
        <w:rPr>
          <w:rFonts w:cs="Arial"/>
        </w:rPr>
        <w:tab/>
      </w:r>
      <w:r w:rsidRPr="00627782">
        <w:t>__________</w:t>
      </w:r>
    </w:p>
    <w:p w:rsidR="00C8385E" w:rsidRPr="00627782" w:rsidRDefault="00C8385E" w:rsidP="00C8385E">
      <w:pPr>
        <w:sectPr w:rsidR="00C8385E" w:rsidRPr="00627782" w:rsidSect="00DF2C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F2C94" w:rsidRDefault="00DF2C94" w:rsidP="000A7B8D">
      <w:pPr>
        <w:tabs>
          <w:tab w:val="left" w:pos="6164"/>
          <w:tab w:val="left" w:pos="7145"/>
        </w:tabs>
      </w:pPr>
    </w:p>
    <w:sectPr w:rsidR="00DF2C94" w:rsidSect="00DC19C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29E" w:rsidRDefault="00A4629E" w:rsidP="00095DB4">
      <w:pPr>
        <w:spacing w:after="0" w:line="240" w:lineRule="auto"/>
      </w:pPr>
      <w:r>
        <w:separator/>
      </w:r>
    </w:p>
  </w:endnote>
  <w:endnote w:type="continuationSeparator" w:id="0">
    <w:p w:rsidR="00A4629E" w:rsidRDefault="00A4629E" w:rsidP="00095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Rod">
    <w:altName w:val="Rod"/>
    <w:charset w:val="B1"/>
    <w:family w:val="modern"/>
    <w:pitch w:val="fixed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Default="001C3997" w:rsidP="001C3997">
    <w:pPr>
      <w:jc w:val="center"/>
      <w:rPr>
        <w:i/>
        <w:sz w:val="16"/>
      </w:rPr>
    </w:pPr>
    <w:r>
      <w:rPr>
        <w:i/>
        <w:sz w:val="16"/>
      </w:rPr>
      <w:t>Holy Bible text</w:t>
    </w:r>
    <w:r w:rsidRPr="00AF0E9A">
      <w:rPr>
        <w:i/>
        <w:sz w:val="16"/>
      </w:rPr>
      <w:t xml:space="preserve"> courtesy Wor</w:t>
    </w:r>
    <w:r>
      <w:rPr>
        <w:i/>
        <w:sz w:val="16"/>
      </w:rPr>
      <w:t>l</w:t>
    </w:r>
    <w:r w:rsidRPr="00AF0E9A">
      <w:rPr>
        <w:i/>
        <w:sz w:val="16"/>
      </w:rPr>
      <w:t xml:space="preserve">d English Bible: </w:t>
    </w:r>
    <w:bookmarkStart w:id="1" w:name="_Hlk521428829"/>
    <w:r w:rsidR="006E0CD7" w:rsidRPr="006E0CD7">
      <w:rPr>
        <w:i/>
        <w:sz w:val="16"/>
      </w:rPr>
      <w:t>http://ebible.org/web/MRK01.htm</w:t>
    </w:r>
    <w:bookmarkEnd w:id="1"/>
  </w:p>
  <w:p w:rsidR="001C3997" w:rsidRPr="004170A9" w:rsidRDefault="001C3997" w:rsidP="001C3997">
    <w:pPr>
      <w:rPr>
        <w:i/>
        <w:sz w:val="2"/>
      </w:rPr>
    </w:pPr>
  </w:p>
  <w:p w:rsidR="001C3997" w:rsidRPr="00DA1357" w:rsidRDefault="001C3997" w:rsidP="001C3997">
    <w:pPr>
      <w:pStyle w:val="Footer"/>
      <w:rPr>
        <w:rFonts w:cs="Arial"/>
        <w:szCs w:val="20"/>
      </w:rPr>
    </w:pPr>
    <w:r w:rsidRPr="00DA1357">
      <w:rPr>
        <w:rFonts w:cs="Arial"/>
        <w:szCs w:val="20"/>
      </w:rPr>
      <w:t>PurlandTraining.com                                     Photocopiable                                             Public Domain</w:t>
    </w:r>
  </w:p>
  <w:p w:rsidR="001C3997" w:rsidRPr="002E219B" w:rsidRDefault="001C3997" w:rsidP="001C3997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29E" w:rsidRDefault="00A4629E" w:rsidP="00095DB4">
      <w:pPr>
        <w:spacing w:after="0" w:line="240" w:lineRule="auto"/>
      </w:pPr>
      <w:r>
        <w:separator/>
      </w:r>
    </w:p>
  </w:footnote>
  <w:footnote w:type="continuationSeparator" w:id="0">
    <w:p w:rsidR="00A4629E" w:rsidRDefault="00A4629E" w:rsidP="00095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997" w:rsidRPr="000751BF" w:rsidRDefault="001C3997" w:rsidP="001C3997">
    <w:pPr>
      <w:pStyle w:val="Header"/>
      <w:jc w:val="center"/>
      <w:rPr>
        <w:rFonts w:cs="Arial"/>
        <w:sz w:val="56"/>
        <w:szCs w:val="56"/>
      </w:rPr>
    </w:pPr>
  </w:p>
  <w:p w:rsidR="001C3997" w:rsidRPr="00FF00DF" w:rsidRDefault="001C3997" w:rsidP="001C3997">
    <w:pPr>
      <w:pStyle w:val="Header"/>
      <w:jc w:val="center"/>
      <w:rPr>
        <w:rFonts w:cs="Arial"/>
        <w:b/>
        <w:sz w:val="24"/>
        <w:szCs w:val="32"/>
      </w:rPr>
    </w:pPr>
    <w:r w:rsidRPr="00FF00DF">
      <w:rPr>
        <w:rFonts w:cs="Arial"/>
        <w:b/>
        <w:sz w:val="24"/>
        <w:szCs w:val="32"/>
      </w:rPr>
      <w:t xml:space="preserve">Vocabulary – </w:t>
    </w:r>
    <w:r w:rsidR="00E12EAC">
      <w:rPr>
        <w:rFonts w:cs="Arial"/>
        <w:b/>
        <w:sz w:val="24"/>
        <w:szCs w:val="32"/>
      </w:rPr>
      <w:t>Reorder a Text</w:t>
    </w:r>
  </w:p>
  <w:p w:rsidR="001C3997" w:rsidRDefault="001C3997" w:rsidP="001C3997">
    <w:pPr>
      <w:pStyle w:val="Header"/>
      <w:jc w:val="center"/>
      <w:rPr>
        <w:rFonts w:cs="Arial"/>
      </w:rPr>
    </w:pPr>
  </w:p>
  <w:p w:rsidR="001C3997" w:rsidRPr="0044536C" w:rsidRDefault="00D9290B" w:rsidP="001C3997">
    <w:pPr>
      <w:widowControl w:val="0"/>
      <w:overflowPunct w:val="0"/>
      <w:autoSpaceDE w:val="0"/>
      <w:autoSpaceDN w:val="0"/>
      <w:adjustRightInd w:val="0"/>
      <w:jc w:val="center"/>
      <w:rPr>
        <w:rFonts w:cs="Arial"/>
        <w:kern w:val="28"/>
      </w:rPr>
    </w:pPr>
    <w:r>
      <w:rPr>
        <w:rFonts w:cs="Arial"/>
        <w:kern w:val="28"/>
      </w:rPr>
      <w:t>John the Baptist</w:t>
    </w:r>
  </w:p>
  <w:p w:rsidR="001C3997" w:rsidRDefault="001C3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064C1"/>
    <w:multiLevelType w:val="hybridMultilevel"/>
    <w:tmpl w:val="0E40F8F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F6D6E"/>
    <w:multiLevelType w:val="hybridMultilevel"/>
    <w:tmpl w:val="A8CE794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80517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21D2D"/>
    <w:multiLevelType w:val="hybridMultilevel"/>
    <w:tmpl w:val="FEE08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36250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33050"/>
    <w:multiLevelType w:val="hybridMultilevel"/>
    <w:tmpl w:val="E326D9B0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A7292B"/>
    <w:multiLevelType w:val="hybridMultilevel"/>
    <w:tmpl w:val="32E0082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E2CE9"/>
    <w:multiLevelType w:val="hybridMultilevel"/>
    <w:tmpl w:val="0CCC39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C73693"/>
    <w:multiLevelType w:val="hybridMultilevel"/>
    <w:tmpl w:val="8606F9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A0951"/>
    <w:multiLevelType w:val="hybridMultilevel"/>
    <w:tmpl w:val="16E6E564"/>
    <w:lvl w:ilvl="0" w:tplc="23CC946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92A99"/>
    <w:multiLevelType w:val="hybridMultilevel"/>
    <w:tmpl w:val="8A06A642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1512"/>
    <w:multiLevelType w:val="hybridMultilevel"/>
    <w:tmpl w:val="E8D83C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5A74D7"/>
    <w:multiLevelType w:val="hybridMultilevel"/>
    <w:tmpl w:val="E81C179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8"/>
  </w:num>
  <w:num w:numId="5">
    <w:abstractNumId w:val="3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331"/>
    <w:rsid w:val="000309F7"/>
    <w:rsid w:val="00034A46"/>
    <w:rsid w:val="000751BF"/>
    <w:rsid w:val="00095DB4"/>
    <w:rsid w:val="000A7B8D"/>
    <w:rsid w:val="000D50FE"/>
    <w:rsid w:val="000D58A9"/>
    <w:rsid w:val="00106269"/>
    <w:rsid w:val="00122EAA"/>
    <w:rsid w:val="00164D17"/>
    <w:rsid w:val="00166992"/>
    <w:rsid w:val="001A7A7A"/>
    <w:rsid w:val="001C3997"/>
    <w:rsid w:val="001D68FC"/>
    <w:rsid w:val="0024258A"/>
    <w:rsid w:val="00274BC9"/>
    <w:rsid w:val="002C74CA"/>
    <w:rsid w:val="002D14F9"/>
    <w:rsid w:val="002F3FAF"/>
    <w:rsid w:val="00310B17"/>
    <w:rsid w:val="00321E6E"/>
    <w:rsid w:val="00332470"/>
    <w:rsid w:val="00332AA3"/>
    <w:rsid w:val="00364600"/>
    <w:rsid w:val="00373BBB"/>
    <w:rsid w:val="003B1AE8"/>
    <w:rsid w:val="003F267A"/>
    <w:rsid w:val="00414002"/>
    <w:rsid w:val="004170A9"/>
    <w:rsid w:val="004B43C3"/>
    <w:rsid w:val="00570343"/>
    <w:rsid w:val="005A7472"/>
    <w:rsid w:val="005C22C0"/>
    <w:rsid w:val="005C23E4"/>
    <w:rsid w:val="00627782"/>
    <w:rsid w:val="006347A2"/>
    <w:rsid w:val="00671400"/>
    <w:rsid w:val="00673664"/>
    <w:rsid w:val="00685C95"/>
    <w:rsid w:val="0069632F"/>
    <w:rsid w:val="006C3A80"/>
    <w:rsid w:val="006D6999"/>
    <w:rsid w:val="006E0CD7"/>
    <w:rsid w:val="006F3699"/>
    <w:rsid w:val="00713E50"/>
    <w:rsid w:val="00781B98"/>
    <w:rsid w:val="007B41D3"/>
    <w:rsid w:val="007B7F34"/>
    <w:rsid w:val="007C1E30"/>
    <w:rsid w:val="007C2C07"/>
    <w:rsid w:val="00840F11"/>
    <w:rsid w:val="008D1AB8"/>
    <w:rsid w:val="008F24FA"/>
    <w:rsid w:val="00913AD4"/>
    <w:rsid w:val="00921816"/>
    <w:rsid w:val="009273CB"/>
    <w:rsid w:val="009429D5"/>
    <w:rsid w:val="00967E18"/>
    <w:rsid w:val="0097340E"/>
    <w:rsid w:val="0099342D"/>
    <w:rsid w:val="009945DD"/>
    <w:rsid w:val="009C4493"/>
    <w:rsid w:val="00A119CF"/>
    <w:rsid w:val="00A22A8F"/>
    <w:rsid w:val="00A271C0"/>
    <w:rsid w:val="00A43D8A"/>
    <w:rsid w:val="00A4629E"/>
    <w:rsid w:val="00A965C7"/>
    <w:rsid w:val="00AF0E9A"/>
    <w:rsid w:val="00B80B8E"/>
    <w:rsid w:val="00B82506"/>
    <w:rsid w:val="00BA4F9F"/>
    <w:rsid w:val="00BB0238"/>
    <w:rsid w:val="00BB20FF"/>
    <w:rsid w:val="00BC3331"/>
    <w:rsid w:val="00C47CC0"/>
    <w:rsid w:val="00C8385E"/>
    <w:rsid w:val="00CB1AEF"/>
    <w:rsid w:val="00CC194F"/>
    <w:rsid w:val="00CD4700"/>
    <w:rsid w:val="00D1021A"/>
    <w:rsid w:val="00D637F4"/>
    <w:rsid w:val="00D663B4"/>
    <w:rsid w:val="00D74C5D"/>
    <w:rsid w:val="00D759EE"/>
    <w:rsid w:val="00D75B7E"/>
    <w:rsid w:val="00D9290B"/>
    <w:rsid w:val="00DA1357"/>
    <w:rsid w:val="00DA652D"/>
    <w:rsid w:val="00DC19C0"/>
    <w:rsid w:val="00DE3A05"/>
    <w:rsid w:val="00DF2C94"/>
    <w:rsid w:val="00E12EAC"/>
    <w:rsid w:val="00E6704D"/>
    <w:rsid w:val="00E85C91"/>
    <w:rsid w:val="00E915A1"/>
    <w:rsid w:val="00F562CA"/>
    <w:rsid w:val="00F8549B"/>
    <w:rsid w:val="00F947C6"/>
    <w:rsid w:val="00FA7A71"/>
    <w:rsid w:val="00FD1360"/>
    <w:rsid w:val="00FE10E5"/>
    <w:rsid w:val="00FF00DF"/>
    <w:rsid w:val="00FF1482"/>
    <w:rsid w:val="00FF5750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4A0AE"/>
  <w15:chartTrackingRefBased/>
  <w15:docId w15:val="{10582525-02E8-46A7-A5B5-401A0895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B4"/>
  </w:style>
  <w:style w:type="paragraph" w:styleId="Footer">
    <w:name w:val="footer"/>
    <w:basedOn w:val="Normal"/>
    <w:link w:val="FooterChar"/>
    <w:uiPriority w:val="99"/>
    <w:unhideWhenUsed/>
    <w:rsid w:val="00095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B4"/>
  </w:style>
  <w:style w:type="paragraph" w:styleId="ListParagraph">
    <w:name w:val="List Paragraph"/>
    <w:basedOn w:val="Normal"/>
    <w:uiPriority w:val="34"/>
    <w:qFormat/>
    <w:rsid w:val="007C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41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F2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3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120">
          <w:marLeft w:val="0"/>
          <w:marRight w:val="0"/>
          <w:marTop w:val="3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698">
          <w:marLeft w:val="0"/>
          <w:marRight w:val="0"/>
          <w:marTop w:val="4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Purland</dc:creator>
  <cp:keywords/>
  <dc:description/>
  <cp:lastModifiedBy>Matt Purland</cp:lastModifiedBy>
  <cp:revision>86</cp:revision>
  <cp:lastPrinted>2018-08-07T15:56:00Z</cp:lastPrinted>
  <dcterms:created xsi:type="dcterms:W3CDTF">2018-07-30T08:15:00Z</dcterms:created>
  <dcterms:modified xsi:type="dcterms:W3CDTF">2018-10-19T10:05:00Z</dcterms:modified>
</cp:coreProperties>
</file>